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05" w:rsidRPr="0092041E" w:rsidRDefault="00103405" w:rsidP="0092041E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b/>
          <w:color w:val="5B595B"/>
          <w:sz w:val="24"/>
          <w:szCs w:val="23"/>
          <w:u w:val="single"/>
          <w:lang w:eastAsia="ru-RU"/>
        </w:rPr>
      </w:pPr>
      <w:r w:rsidRPr="0092041E">
        <w:rPr>
          <w:rFonts w:ascii="Arial" w:eastAsia="Times New Roman" w:hAnsi="Arial" w:cs="Arial"/>
          <w:b/>
          <w:color w:val="5B595B"/>
          <w:sz w:val="24"/>
          <w:szCs w:val="23"/>
          <w:u w:val="single"/>
          <w:lang w:eastAsia="ru-RU"/>
        </w:rPr>
        <w:t>Конкурсный отбор 2023 года на получение персональных стипендий имени Ж.И. Алферова для молодых ученых</w:t>
      </w:r>
    </w:p>
    <w:p w:rsidR="00D2425C" w:rsidRPr="00D2425C" w:rsidRDefault="00D2425C" w:rsidP="00D2425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b/>
          <w:color w:val="5B595B"/>
          <w:sz w:val="24"/>
          <w:szCs w:val="23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115ECF" wp14:editId="3F6EF920">
            <wp:extent cx="1857375" cy="1238250"/>
            <wp:effectExtent l="0" t="0" r="9525" b="0"/>
            <wp:docPr id="3" name="Рисунок 3" descr="Конкурсный отбор 2023 года на получение персональных стипендий имени Ж.И. Алферова для молодых уче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курсный отбор 2023 года на получение персональных стипендий имени Ж.И. Алферова для молодых уче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05" w:rsidRP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proofErr w:type="spellStart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Ми</w:t>
      </w:r>
      <w:r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нобрнауки</w:t>
      </w:r>
      <w:proofErr w:type="spellEnd"/>
      <w:r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Российской Федерации – организатор конкурсного отбора – совместно с Советом по грантам Президента Р</w:t>
      </w:r>
      <w:r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Ф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для государственной поддержки молодых российских ученых Российской Федерации (Совет по грантам) объявляет конкурсный отбор 2023 года на получение </w:t>
      </w:r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 xml:space="preserve">персональных стипендий имени Ж.И. Алферова для молодых ученых в области физики и </w:t>
      </w:r>
      <w:proofErr w:type="spellStart"/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нанотехнологий</w:t>
      </w:r>
      <w:proofErr w:type="spellEnd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(стипендия имени Ж.И. Алферова).</w:t>
      </w:r>
    </w:p>
    <w:p w:rsidR="00103405" w:rsidRP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Прием заявок на участие в конкурсном отборе будет осуществляться </w:t>
      </w:r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с 27 марта по 27 апреля 2023 года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в электронном виде, регистрация кандидата на получение стипендий имени Ж.И. Алферова на сайте Совета по грантам </w:t>
      </w:r>
      <w:hyperlink r:id="rId7" w:history="1">
        <w:r w:rsidRPr="0010340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grants.extech.ru</w:t>
        </w:r>
      </w:hyperlink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и заполнение интерактивных форм на персональной странице являются обязательными.</w:t>
      </w:r>
      <w:r w:rsid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 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Завершить работу на сайте Совета необходимо в срок до 14 часов 00 минут московского времени 27 апреля 2023 года.</w:t>
      </w:r>
    </w:p>
    <w:p w:rsidR="00103405" w:rsidRPr="00103405" w:rsidRDefault="00103405" w:rsidP="0092041E">
      <w:pPr>
        <w:shd w:val="clear" w:color="auto" w:fill="FFFFFF"/>
        <w:spacing w:before="300" w:after="12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Кандидатами на назначение стипендий имени Ж.И. Алферова являются</w:t>
      </w:r>
    </w:p>
    <w:p w:rsidR="00103405" w:rsidRPr="00103405" w:rsidRDefault="00103405" w:rsidP="00103405">
      <w:pPr>
        <w:shd w:val="clear" w:color="auto" w:fill="FFFFFF"/>
        <w:spacing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proofErr w:type="gramStart"/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молодые ученые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замещающие должности научных или научно-педагогических работников в российских научных организациях или образовательных организациях высшего образования, в возрасте до 35 лет, имеющие ученую степень кандидата наук, или в возрасте до 40 лет, имеющие ученую степень доктора наук,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либо </w:t>
      </w:r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аспиранты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обучающиеся в организациях, осуществляющих образовательную деятельность по программам подготовки научных и научно-педагогических кадров в аспирантуре (адъюнктуре) по очной форме обучения</w:t>
      </w:r>
      <w:proofErr w:type="gramEnd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, без ученой степени в возрасте до 30 лет, принимающие участие в научной (научно-исследовательской) деятельности в области физики и </w:t>
      </w:r>
      <w:proofErr w:type="spellStart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нанотехнологий</w:t>
      </w:r>
      <w:proofErr w:type="spellEnd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и имеющие научные труды, опубликованные в международных или всероссийских рецензируемых журналах и изданиях, отражающие выдающиеся научные достижения молодого ученого или аспиранта.</w:t>
      </w:r>
    </w:p>
    <w:p w:rsidR="00103405" w:rsidRP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proofErr w:type="gramStart"/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Критериями определения получателей стипендии имени Ж.И. Алферова являются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 научные достижения кандидата в области физики и </w:t>
      </w:r>
      <w:proofErr w:type="spellStart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нанотехнологий</w:t>
      </w:r>
      <w:proofErr w:type="spellEnd"/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за последние три года, в том числе, публикации о результатах научных исследований в российских и зарубежных изданиях, результаты интеллектуальной деятельности, участие в конференциях и семинарах и общественное признание кандидата (премии, медали и другие награды).</w:t>
      </w:r>
      <w:proofErr w:type="gramEnd"/>
    </w:p>
    <w:p w:rsidR="00103405" w:rsidRP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Кандидаты выдвигаются учеными (научными, научно-техническими) советами организаций.</w:t>
      </w:r>
    </w:p>
    <w:p w:rsidR="00103405" w:rsidRP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>Стипендия имени Ж.И. Алферова устанавливается </w:t>
      </w:r>
      <w:r w:rsidRPr="00103405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в размере 20 000 рублей в месяц, сроком на 12 месяцев</w:t>
      </w: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, выплачивается ежемесячно сверх установленных должностных окладов, доплат, надбавок, премий и других выплат, может назначаться одному и тому же лицу неоднократно.</w:t>
      </w:r>
    </w:p>
    <w:p w:rsidR="00103405" w:rsidRP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Общее число лиц, отобранных на получения стипендии имени Ж.И. Алферова по результатам конкурсного отбора 2023 года, не может превышать 10 человек.</w:t>
      </w:r>
    </w:p>
    <w:p w:rsid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103405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Полная информация о конкурсе на сайте Министерства: </w:t>
      </w:r>
      <w:hyperlink r:id="rId8" w:history="1">
        <w:r w:rsidRPr="00103405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https://minobrnauki.gov.ru/documents/?ELEMENT_ID=65697</w:t>
        </w:r>
      </w:hyperlink>
    </w:p>
    <w:p w:rsidR="00103405" w:rsidRDefault="00103405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</w:p>
    <w:p w:rsidR="002168A9" w:rsidRPr="00577D40" w:rsidRDefault="002168A9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039BE5"/>
          <w:sz w:val="23"/>
          <w:szCs w:val="23"/>
          <w:lang w:eastAsia="ru-RU"/>
        </w:rPr>
      </w:pPr>
    </w:p>
    <w:p w:rsidR="00D2425C" w:rsidRDefault="00D2425C" w:rsidP="00D2425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b/>
          <w:color w:val="5B595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5B595B"/>
          <w:sz w:val="23"/>
          <w:szCs w:val="23"/>
          <w:lang w:eastAsia="ru-RU"/>
        </w:rPr>
        <w:t>15.03.23</w:t>
      </w:r>
      <w:r w:rsidRPr="00D2425C">
        <w:t xml:space="preserve"> </w:t>
      </w:r>
    </w:p>
    <w:p w:rsidR="00D2425C" w:rsidRDefault="00D2425C" w:rsidP="00D2425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b/>
          <w:color w:val="5B595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90DF7" wp14:editId="6E299285">
            <wp:extent cx="1914525" cy="585297"/>
            <wp:effectExtent l="0" t="0" r="0" b="5715"/>
            <wp:docPr id="2" name="Рисунок 2" descr="Конкурс 2023 года по поддержке международных российско-индийских научных коллекти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2023 года по поддержке международных российско-индийских научных коллектив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19" cy="5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5C" w:rsidRPr="00D2425C" w:rsidRDefault="00D2425C" w:rsidP="00D2425C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b/>
          <w:color w:val="5B595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5B595B"/>
          <w:sz w:val="23"/>
          <w:szCs w:val="23"/>
          <w:lang w:eastAsia="ru-RU"/>
        </w:rPr>
        <w:t>Р</w:t>
      </w:r>
      <w:r w:rsidRPr="00D2425C">
        <w:rPr>
          <w:rFonts w:ascii="Arial" w:eastAsia="Times New Roman" w:hAnsi="Arial" w:cs="Arial"/>
          <w:b/>
          <w:color w:val="5B595B"/>
          <w:sz w:val="23"/>
          <w:szCs w:val="23"/>
          <w:lang w:eastAsia="ru-RU"/>
        </w:rPr>
        <w:t>оссийский научный фонд (РНФ) начинает прием заявок на конкурс 2023 года по поддержке международных российско-индийских научных коллективов.</w:t>
      </w:r>
      <w:r w:rsidRPr="00D2425C">
        <w:rPr>
          <w:noProof/>
          <w:lang w:eastAsia="ru-RU"/>
        </w:rPr>
        <w:t xml:space="preserve"> </w:t>
      </w:r>
    </w:p>
    <w:p w:rsidR="00D2425C" w:rsidRPr="00D2425C" w:rsidRDefault="00D2425C" w:rsidP="00823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Конкурс проводится совместно c Департаментом науки и технологий Министерства науки и технологий Республики Индия (DST) в четвертый раз.</w:t>
      </w:r>
    </w:p>
    <w:p w:rsidR="00D2425C" w:rsidRPr="00D2425C" w:rsidRDefault="00D2425C" w:rsidP="008237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В рамках конкурса будут поддержаны фундаментальные и поисковые научные исследования по следующим отраслям знаний: математика, информатика и науки о системах; физика и науки о космосе; химия и науки о материалах; биология и науки о жизни; фундаментальные исследования для медицины; сельскохозяйственные науки; науки о Земле; инженерные науки.</w:t>
      </w:r>
    </w:p>
    <w:p w:rsidR="00D2425C" w:rsidRPr="00D2425C" w:rsidRDefault="00D2425C" w:rsidP="00823795">
      <w:pPr>
        <w:shd w:val="clear" w:color="auto" w:fill="FFFFFF"/>
        <w:spacing w:before="120" w:after="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Научные исследования должны быть направлены на решение конкретных задач в рамках приоритетных направлений:</w:t>
      </w:r>
    </w:p>
    <w:p w:rsidR="00D2425C" w:rsidRPr="00D2425C" w:rsidRDefault="00D2425C" w:rsidP="00D2425C">
      <w:pPr>
        <w:shd w:val="clear" w:color="auto" w:fill="FFFFFF"/>
        <w:spacing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Высокотехнологичные транспорт и коммуникации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Smart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transport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and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telecommunications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Высокотехнологичное здравоохранение и медицина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Smart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healthcare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and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medicine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Новые материалы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New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Materials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Биотехнологии растений и животных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Plant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and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Animal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Bio-Technology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Чистая энергетика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Clean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energy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Искусственный интеллект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Artificial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Intelligence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Пищевая безопасность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Safe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Food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);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Землетрясения и науки об океане (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Earth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Quake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and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Ocean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</w:t>
      </w:r>
      <w:proofErr w:type="spellStart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Science</w:t>
      </w:r>
      <w:proofErr w:type="spellEnd"/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).</w:t>
      </w:r>
    </w:p>
    <w:p w:rsidR="00D2425C" w:rsidRPr="00D2425C" w:rsidRDefault="00D2425C" w:rsidP="00823795">
      <w:pPr>
        <w:shd w:val="clear" w:color="auto" w:fill="FFFFFF"/>
        <w:spacing w:before="120" w:after="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Экспертиза </w:t>
      </w:r>
      <w:r w:rsidRPr="00D2425C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проектов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 xml:space="preserve"> будет осуществляться как с российской, так и с индийской стороны. Рассчитывать на финансирование смогут только те коллективы, которым удастся получить положительную оценку экспертов из обеих стран.</w:t>
      </w:r>
    </w:p>
    <w:p w:rsidR="00D2425C" w:rsidRPr="00D2425C" w:rsidRDefault="00D2425C" w:rsidP="00823795">
      <w:pPr>
        <w:shd w:val="clear" w:color="auto" w:fill="FFFFFF"/>
        <w:spacing w:before="300" w:after="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Размер одного гранта со стороны РНФ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составит от 4 до 7 миллионов рублей ежегодно, а сами проекты планируются к реализации </w:t>
      </w:r>
      <w:r w:rsidRPr="00D2425C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в 2024–2026 годах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.</w:t>
      </w:r>
    </w:p>
    <w:p w:rsidR="00D2425C" w:rsidRPr="00D2425C" w:rsidRDefault="00D2425C" w:rsidP="00823795">
      <w:pPr>
        <w:shd w:val="clear" w:color="auto" w:fill="FFFFFF"/>
        <w:spacing w:before="120" w:after="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lastRenderedPageBreak/>
        <w:t>Заявки принимаются </w:t>
      </w:r>
      <w:r w:rsidRPr="00D2425C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до 15 июня 2023 года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в виде электронного документа через систему ИАС РНФ.</w:t>
      </w:r>
    </w:p>
    <w:p w:rsidR="00D2425C" w:rsidRPr="00D2425C" w:rsidRDefault="00D2425C" w:rsidP="00823795">
      <w:pPr>
        <w:shd w:val="clear" w:color="auto" w:fill="FFFFFF"/>
        <w:spacing w:before="120" w:after="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Подробная информация о конкурсе и требования к участникам представлены в разделе «</w:t>
      </w:r>
      <w:r w:rsidRPr="00D2425C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Конкурсы</w:t>
      </w:r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»: </w:t>
      </w:r>
      <w:hyperlink r:id="rId10" w:history="1">
        <w:r w:rsidRPr="00D2425C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https://rscf.ru/contests/</w:t>
        </w:r>
      </w:hyperlink>
      <w:r w:rsidRPr="00D2425C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.</w:t>
      </w:r>
    </w:p>
    <w:p w:rsidR="00D2425C" w:rsidRPr="00103405" w:rsidRDefault="00D2425C" w:rsidP="00103405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</w:p>
    <w:p w:rsidR="00577D40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B595B"/>
          <w:sz w:val="23"/>
          <w:szCs w:val="23"/>
          <w:lang w:eastAsia="ru-RU"/>
        </w:rPr>
        <w:t>16.04.23</w:t>
      </w:r>
      <w:r>
        <w:rPr>
          <w:noProof/>
          <w:lang w:eastAsia="ru-RU"/>
        </w:rPr>
        <w:drawing>
          <wp:inline distT="0" distB="0" distL="0" distR="0" wp14:anchorId="4F285495" wp14:editId="5941A681">
            <wp:extent cx="3333750" cy="1019175"/>
            <wp:effectExtent l="0" t="0" r="0" b="9525"/>
            <wp:docPr id="1" name="Рисунок 1" descr="Конкурс малых отдельных научных групп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малых отдельных научных групп 2023 г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Российский научный фонд (РНФ) сообщает о проведении в 2023 году конкурса малых отдельных научных групп.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Гранты выделяются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на осуществление фундаментальных научных исследований и поисковых научных исследований </w:t>
      </w:r>
      <w:r w:rsidRPr="000002C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в 2024 – 2025 годах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по всем отраслям знаний классификатора РНФ:</w:t>
      </w:r>
    </w:p>
    <w:p w:rsidR="00577D40" w:rsidRPr="000002CE" w:rsidRDefault="00577D40" w:rsidP="00577D40">
      <w:pPr>
        <w:shd w:val="clear" w:color="auto" w:fill="FFFFFF"/>
        <w:spacing w:line="240" w:lineRule="auto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01 Математика, информатика и науки о системах;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02 Физика и науки о космосе;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03 Химия и науки о материалах;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04 Биология и науки о жизни;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05 Фундаментальные исследования для медицины;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06 Сельскохозяйственные науки;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07 Науки о Земле;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08 Гуманитарные и социальные науки;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br/>
        <w:t>09 Инженерные науки.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Основная цель конкурса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– развитие новых для научных коллективов тематик (в том числе, на определение объекта и предмета исследования, составление плана исследования, выбор методов исследования) и формирование исследовательских команд.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Общее число членов научного коллектива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(вместе с руководителем проекта) должно составлять от 2 до 4 человек.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Размер одного гранта составит </w:t>
      </w:r>
      <w:r w:rsidRPr="000002C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до 1,5 млн. рублей ежегодно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.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Заявка на конкурс представляется </w:t>
      </w:r>
      <w:r w:rsidRPr="000002CE">
        <w:rPr>
          <w:rFonts w:ascii="Arial" w:eastAsia="Times New Roman" w:hAnsi="Arial" w:cs="Arial"/>
          <w:b/>
          <w:bCs/>
          <w:color w:val="5B595B"/>
          <w:sz w:val="23"/>
          <w:szCs w:val="23"/>
          <w:lang w:eastAsia="ru-RU"/>
        </w:rPr>
        <w:t>не позднее 17 часов 00 минут (по московскому времени) 15 июня 2023 года</w:t>
      </w: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 в виде электронного документа через Информационно-аналитическую систему РНФ. 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r w:rsidRPr="000002CE">
        <w:rPr>
          <w:rFonts w:ascii="Arial" w:eastAsia="Times New Roman" w:hAnsi="Arial" w:cs="Arial"/>
          <w:color w:val="5B595B"/>
          <w:sz w:val="23"/>
          <w:szCs w:val="23"/>
          <w:lang w:eastAsia="ru-RU"/>
        </w:rPr>
        <w:t>Результаты будут объявлены в ноябре 2023 года.</w:t>
      </w:r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hyperlink r:id="rId11" w:history="1">
        <w:r w:rsidRPr="000002C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Извещение конкурса</w:t>
        </w:r>
      </w:hyperlink>
    </w:p>
    <w:p w:rsidR="00577D40" w:rsidRPr="000002CE" w:rsidRDefault="00577D40" w:rsidP="00577D40">
      <w:pPr>
        <w:shd w:val="clear" w:color="auto" w:fill="FFFFFF"/>
        <w:spacing w:before="300" w:after="300" w:line="293" w:lineRule="atLeast"/>
        <w:rPr>
          <w:rFonts w:ascii="Arial" w:eastAsia="Times New Roman" w:hAnsi="Arial" w:cs="Arial"/>
          <w:color w:val="5B595B"/>
          <w:sz w:val="23"/>
          <w:szCs w:val="23"/>
          <w:lang w:eastAsia="ru-RU"/>
        </w:rPr>
      </w:pPr>
      <w:hyperlink r:id="rId12" w:history="1">
        <w:r w:rsidRPr="000002C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Конкурсная документация</w:t>
        </w:r>
      </w:hyperlink>
      <w:bookmarkStart w:id="0" w:name="_GoBack"/>
      <w:bookmarkEnd w:id="0"/>
    </w:p>
    <w:sectPr w:rsidR="00577D40" w:rsidRPr="0000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CE5"/>
    <w:multiLevelType w:val="hybridMultilevel"/>
    <w:tmpl w:val="7A70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6FB8"/>
    <w:multiLevelType w:val="hybridMultilevel"/>
    <w:tmpl w:val="55B4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5"/>
    <w:rsid w:val="00103405"/>
    <w:rsid w:val="002168A9"/>
    <w:rsid w:val="00577D40"/>
    <w:rsid w:val="006515F2"/>
    <w:rsid w:val="00716789"/>
    <w:rsid w:val="00823795"/>
    <w:rsid w:val="0092041E"/>
    <w:rsid w:val="00B02701"/>
    <w:rsid w:val="00D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03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4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03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6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documents/?ELEMENT_ID=656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ants.extech.ru/" TargetMode="External"/><Relationship Id="rId12" Type="http://schemas.openxmlformats.org/officeDocument/2006/relationships/hyperlink" Target="https://rscf.ru/upload/iblock/dc5/54w2egacukwpz7qy3n5gbo9e2w62ujz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scf.ru/upload/iblock/8db/xfu6g264etkn3dnk2yy0ou8z24vkv1b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scf.ru/contes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Anna Bychkova</cp:lastModifiedBy>
  <cp:revision>2</cp:revision>
  <dcterms:created xsi:type="dcterms:W3CDTF">2023-04-23T05:58:00Z</dcterms:created>
  <dcterms:modified xsi:type="dcterms:W3CDTF">2023-04-23T05:58:00Z</dcterms:modified>
</cp:coreProperties>
</file>